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2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1</w:t>
            </w:r>
            <w:r>
              <w:rPr>
                <w:rFonts w:eastAsia="Times New Roman" w:cs="Times New Roman" w:ascii="Times New Roman" w:hAnsi="Times New Roman"/>
                <w:b/>
                <w:bCs/>
                <w:color w:val="000000"/>
                <w:lang w:val="sr-RS" w:eastAsia="sr-Latn-CS"/>
              </w:rPr>
              <w:t>2</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2. </w:t>
            </w:r>
            <w:r>
              <w:rPr>
                <w:rFonts w:eastAsia="Times New Roman" w:cs="Times New Roman" w:ascii="Times New Roman" w:hAnsi="Times New Roman"/>
                <w:b/>
                <w:bCs/>
                <w:color w:val="000000"/>
                <w:sz w:val="24"/>
                <w:szCs w:val="24"/>
                <w:lang w:val="fr-FR" w:eastAsia="sr-Latn-CS"/>
              </w:rPr>
              <w:t>MON ÉCOLE</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jc w:val="center"/>
              <w:rPr/>
            </w:pPr>
            <w:r>
              <w:rPr>
                <w:rFonts w:eastAsia="Times New Roman" w:cs="Times New Roman" w:ascii="Times New Roman" w:hAnsi="Times New Roman"/>
                <w:b/>
                <w:bCs/>
                <w:color w:val="000000"/>
                <w:lang w:val="en-US" w:eastAsia="sr-Latn-CS"/>
              </w:rPr>
              <w:t>Dire ce que l’on possède</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spacing w:before="0" w:after="240"/>
              <w:rPr/>
            </w:pPr>
            <w:r>
              <w:rPr>
                <w:rFonts w:eastAsia="Times New Roman" w:cs="Times New Roman" w:ascii="Times New Roman" w:hAnsi="Times New Roman"/>
                <w:color w:val="000000"/>
                <w:szCs w:val="20"/>
                <w:lang w:val="sr-RS" w:eastAsia="sr-Latn-CS"/>
              </w:rPr>
              <w:t xml:space="preserve">Утврђивање </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eastAsia="Times New Roman" w:cs="Times New Roman" w:ascii="Times New Roman" w:hAnsi="Times New Roman"/>
                <w:lang w:val="sr-RS" w:eastAsia="sr-Latn-CS"/>
              </w:rPr>
              <w:t>Утврђивање лексике која се односи на школски прибор.</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ученици ће бити у стању да:</w:t>
            </w:r>
          </w:p>
          <w:p>
            <w:pPr>
              <w:pStyle w:val="Normal"/>
              <w:spacing w:before="0" w:after="240"/>
              <w:rPr/>
            </w:pPr>
            <w:r>
              <w:rPr>
                <w:rFonts w:eastAsia="Times New Roman" w:cs="Times New Roman" w:ascii="Times New Roman" w:hAnsi="Times New Roman"/>
                <w:b w:val="false"/>
                <w:bCs w:val="false"/>
                <w:i/>
                <w:iCs w:val="false"/>
                <w:color w:val="000000"/>
                <w:sz w:val="22"/>
                <w:szCs w:val="20"/>
                <w:lang w:val="en-US" w:eastAsia="en-GB"/>
              </w:rPr>
              <w:t>-</w:t>
            </w:r>
            <w:r>
              <w:rPr>
                <w:rFonts w:eastAsia="Times New Roman" w:cs="Times New Roman" w:ascii="Times New Roman" w:hAnsi="Times New Roman"/>
                <w:b w:val="false"/>
                <w:bCs w:val="false"/>
                <w:i w:val="false"/>
                <w:iCs w:val="false"/>
                <w:color w:val="000000"/>
                <w:sz w:val="22"/>
                <w:szCs w:val="20"/>
                <w:lang w:val="en-US" w:eastAsia="en-GB"/>
              </w:rPr>
              <w:t xml:space="preserve"> препознају и именују школски </w:t>
            </w:r>
            <w:r>
              <w:rPr>
                <w:rFonts w:eastAsia="Times New Roman" w:cs="Times New Roman" w:ascii="Times New Roman" w:hAnsi="Times New Roman"/>
                <w:b w:val="false"/>
                <w:bCs w:val="false"/>
                <w:i w:val="false"/>
                <w:iCs w:val="false"/>
                <w:color w:val="000000"/>
                <w:sz w:val="22"/>
                <w:szCs w:val="20"/>
                <w:lang w:val="sr-RS" w:eastAsia="en-GB"/>
              </w:rPr>
              <w:t>прибор</w:t>
            </w:r>
            <w:r>
              <w:rPr>
                <w:rFonts w:eastAsia="Times New Roman" w:cs="Times New Roman" w:ascii="Times New Roman" w:hAnsi="Times New Roman"/>
                <w:b w:val="false"/>
                <w:bCs w:val="false"/>
                <w:i w:val="false"/>
                <w:iCs w:val="false"/>
                <w:color w:val="000000"/>
                <w:sz w:val="22"/>
                <w:szCs w:val="20"/>
                <w:lang w:val="en-US" w:eastAsia="en-GB"/>
              </w:rPr>
              <w:t xml:space="preserve"> </w:t>
            </w:r>
            <w:r>
              <w:rPr>
                <w:rFonts w:eastAsia="Times New Roman" w:cs="Times New Roman" w:ascii="Times New Roman" w:hAnsi="Times New Roman"/>
                <w:b/>
                <w:bCs/>
                <w:i/>
                <w:iCs/>
                <w:color w:val="000000"/>
                <w:sz w:val="22"/>
                <w:szCs w:val="20"/>
                <w:lang w:val="en-US" w:eastAsia="en-GB"/>
              </w:rPr>
              <w:t xml:space="preserve">– crayon, gomme, </w:t>
            </w:r>
            <w:r>
              <w:rPr>
                <w:rFonts w:eastAsia="Times New Roman" w:cs="Times New Roman" w:ascii="Times New Roman" w:hAnsi="Times New Roman"/>
                <w:b/>
                <w:bCs/>
                <w:i/>
                <w:iCs/>
                <w:color w:val="000000"/>
                <w:sz w:val="22"/>
                <w:szCs w:val="22"/>
                <w:u w:val="none"/>
                <w:lang w:val="sr-Latn-RS" w:eastAsia="sr-Latn-CS" w:bidi="ar-SA"/>
              </w:rPr>
              <w:t>stylo, règle, trousse, livre, cahier, feutre</w:t>
            </w:r>
          </w:p>
          <w:p>
            <w:pPr>
              <w:pStyle w:val="Normal"/>
              <w:spacing w:before="0" w:after="240"/>
              <w:rPr/>
            </w:pPr>
            <w:r>
              <w:rPr>
                <w:rFonts w:eastAsia="Times New Roman" w:cs="Times New Roman" w:ascii="Times New Roman" w:hAnsi="Times New Roman"/>
                <w:b/>
                <w:bCs/>
                <w:i/>
                <w:iCs/>
                <w:color w:val="000000"/>
                <w:sz w:val="22"/>
                <w:szCs w:val="20"/>
                <w:u w:val="none"/>
                <w:lang w:val="en-US" w:eastAsia="sr-Latn-CS" w:bidi="ar-SA"/>
              </w:rPr>
              <w:t xml:space="preserve">- </w:t>
            </w:r>
            <w:r>
              <w:rPr>
                <w:rFonts w:eastAsia="Times New Roman" w:cs="Times New Roman" w:ascii="Times New Roman" w:hAnsi="Times New Roman"/>
                <w:b w:val="false"/>
                <w:bCs w:val="false"/>
                <w:i w:val="false"/>
                <w:iCs w:val="false"/>
                <w:color w:val="000000"/>
                <w:sz w:val="22"/>
                <w:szCs w:val="20"/>
                <w:u w:val="none"/>
                <w:lang w:val="en-US" w:eastAsia="sr-Latn-CS" w:bidi="ar-SA"/>
              </w:rPr>
              <w:t>разумеју и формулишу питање</w:t>
            </w:r>
            <w:r>
              <w:rPr>
                <w:rFonts w:eastAsia="Times New Roman" w:cs="Times New Roman" w:ascii="Times New Roman" w:hAnsi="Times New Roman"/>
                <w:b/>
                <w:bCs/>
                <w:i/>
                <w:iCs/>
                <w:color w:val="000000"/>
                <w:sz w:val="22"/>
                <w:szCs w:val="20"/>
                <w:u w:val="none"/>
                <w:lang w:val="en-US" w:eastAsia="sr-Latn-CS" w:bidi="ar-SA"/>
              </w:rPr>
              <w:t xml:space="preserve"> – Qu’est-ce que c’est? одговор – C’est…</w:t>
            </w:r>
            <w:r>
              <w:rPr>
                <w:rFonts w:eastAsia="Times New Roman" w:cs="Times New Roman" w:ascii="Times New Roman" w:hAnsi="Times New Roman"/>
                <w:b/>
                <w:bCs/>
                <w:i/>
                <w:iCs/>
                <w:color w:val="000000"/>
                <w:sz w:val="22"/>
                <w:szCs w:val="20"/>
                <w:u w:val="none"/>
                <w:lang w:val="fr-FR" w:eastAsia="sr-Latn-CS" w:bidi="ar-SA"/>
              </w:rPr>
              <w:t xml:space="preserve">Est-ce que c’est …? </w:t>
            </w:r>
            <w:r>
              <w:rPr>
                <w:rFonts w:eastAsia="Times New Roman" w:cs="Times New Roman" w:ascii="Times New Roman" w:hAnsi="Times New Roman"/>
                <w:b w:val="false"/>
                <w:bCs w:val="false"/>
                <w:i w:val="false"/>
                <w:iCs w:val="false"/>
                <w:color w:val="000000"/>
                <w:sz w:val="22"/>
                <w:szCs w:val="20"/>
                <w:u w:val="none"/>
                <w:lang w:val="sr-RS" w:eastAsia="sr-Latn-CS" w:bidi="ar-SA"/>
              </w:rPr>
              <w:t>и одговор</w:t>
            </w:r>
            <w:r>
              <w:rPr>
                <w:rFonts w:eastAsia="Times New Roman" w:cs="Times New Roman" w:ascii="Times New Roman" w:hAnsi="Times New Roman"/>
                <w:b/>
                <w:bCs/>
                <w:i/>
                <w:iCs/>
                <w:color w:val="000000"/>
                <w:sz w:val="22"/>
                <w:szCs w:val="20"/>
                <w:u w:val="none"/>
                <w:lang w:val="sr-RS" w:eastAsia="sr-Latn-CS" w:bidi="ar-SA"/>
              </w:rPr>
              <w:t xml:space="preserve">-  </w:t>
            </w:r>
            <w:r>
              <w:rPr>
                <w:rFonts w:eastAsia="Times New Roman" w:cs="Times New Roman" w:ascii="Times New Roman" w:hAnsi="Times New Roman"/>
                <w:b/>
                <w:bCs/>
                <w:i/>
                <w:iCs/>
                <w:color w:val="000000"/>
                <w:sz w:val="22"/>
                <w:szCs w:val="20"/>
                <w:u w:val="none"/>
                <w:lang w:val="fr-FR" w:eastAsia="sr-Latn-CS" w:bidi="ar-SA"/>
              </w:rPr>
              <w:t>Oui/Non</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eastAsia="Times New Roman" w:cs="Times New Roman" w:ascii="Times New Roman" w:hAnsi="Times New Roman"/>
                <w:lang w:val="sr-RS" w:eastAsia="sr-Latn-CS"/>
              </w:rPr>
              <w:t>Фронтални, индивидуални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rPr/>
            </w:pPr>
            <w:r>
              <w:rPr>
                <w:rFonts w:eastAsia="Times New Roman" w:cs="Times New Roman" w:ascii="Times New Roman" w:hAnsi="Times New Roman"/>
                <w:b w:val="false"/>
                <w:bCs w:val="false"/>
                <w:i w:val="false"/>
                <w:iCs w:val="false"/>
                <w:color w:val="000000"/>
                <w:sz w:val="22"/>
                <w:szCs w:val="22"/>
                <w:u w:val="none"/>
                <w:lang w:val="sr-RS" w:eastAsia="sr-Latn-CS" w:bidi="ar-SA"/>
              </w:rPr>
              <w:t>Школски прибор</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23" w:type="dxa"/>
            </w:tcMar>
          </w:tcPr>
          <w:p>
            <w:pPr>
              <w:pStyle w:val="Normal"/>
              <w:spacing w:before="0" w:after="240"/>
              <w:rPr/>
            </w:pPr>
            <w:r>
              <w:rPr>
                <w:rFonts w:eastAsia="Times New Roman" w:cs="Times New Roman" w:ascii="Times New Roman" w:hAnsi="Times New Roman"/>
                <w:color w:val="000000"/>
                <w:szCs w:val="20"/>
                <w:lang w:val="sr-RS" w:eastAsia="sr-Latn-CS"/>
              </w:rPr>
              <w:t xml:space="preserve">Свет око нас, </w:t>
            </w:r>
            <w:r>
              <w:rPr>
                <w:rFonts w:eastAsia="Times New Roman" w:cs="Times New Roman" w:ascii="Times New Roman" w:hAnsi="Times New Roman"/>
                <w:color w:val="000000"/>
                <w:szCs w:val="20"/>
                <w:lang w:val="sr-RS" w:eastAsia="sr-Latn-CS"/>
              </w:rPr>
              <w:t>грађанско васпитање</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jc w:val="both"/>
              <w:rPr/>
            </w:pP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Након уобичајеног поздрављања, наставник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замоли ученике да по један предмет из пернице или ранца ставе на сто који је мало издвојен од осталих. Наставник се постара да буде заступљен бар по један предмет који ученици могу да именују на француском језику. </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0" w:name="__DdeLink__2989_2361495307"/>
            <w:bookmarkStart w:id="1" w:name="__DdeLink__2989_2361495307"/>
            <w:bookmarkEnd w:id="1"/>
            <w:r>
              <w:rPr/>
            </w:r>
          </w:p>
          <w:p>
            <w:pPr>
              <w:pStyle w:val="Normal"/>
              <w:jc w:val="both"/>
              <w:rPr/>
            </w:pPr>
            <w:r>
              <w:rPr>
                <w:rFonts w:eastAsia="Times New Roman" w:cs="Times New Roman" w:ascii="Times New Roman" w:hAnsi="Times New Roman"/>
                <w:b/>
                <w:bCs w:val="false"/>
                <w:i w:val="false"/>
                <w:caps w:val="false"/>
                <w:smallCaps w:val="false"/>
                <w:color w:val="222222"/>
                <w:spacing w:val="0"/>
                <w:sz w:val="24"/>
                <w:szCs w:val="22"/>
                <w:u w:val="none"/>
                <w:lang w:val="sr-Latn-RS" w:eastAsia="sr-Latn-CS" w:bidi="ar-SA"/>
              </w:rPr>
              <w:t>C</w:t>
            </w:r>
            <w:r>
              <w:rPr>
                <w:rFonts w:eastAsia="Times New Roman" w:cs="Times New Roman" w:ascii="Times New Roman" w:hAnsi="Times New Roman"/>
                <w:b/>
                <w:bCs w:val="false"/>
                <w:i w:val="false"/>
                <w:caps w:val="false"/>
                <w:smallCaps w:val="false"/>
                <w:color w:val="222222"/>
                <w:spacing w:val="0"/>
                <w:sz w:val="24"/>
                <w:szCs w:val="22"/>
                <w:u w:val="none"/>
                <w:lang w:val="sr-RS" w:eastAsia="sr-Latn-CS" w:bidi="ar-SA"/>
              </w:rPr>
              <w:t>olin maillard</w:t>
            </w: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 један ученик стави повез преко очију и стане код стола на коме стоје предмети. Потребно је да пронађе предмет који је он ставио на сто, нпр. гумицу. Остали ученици узвикују </w:t>
            </w:r>
            <w:r>
              <w:rPr>
                <w:rFonts w:eastAsia="Times New Roman" w:cs="Times New Roman" w:ascii="Times New Roman" w:hAnsi="Times New Roman"/>
                <w:b/>
                <w:bCs/>
                <w:i/>
                <w:iCs/>
                <w:color w:val="000000"/>
                <w:sz w:val="22"/>
                <w:szCs w:val="22"/>
                <w:u w:val="none"/>
                <w:lang w:val="sr-Latn-RS" w:eastAsia="sr-Latn-CS" w:bidi="ar-SA"/>
              </w:rPr>
              <w:t>une gomme</w:t>
            </w:r>
            <w:r>
              <w:rPr>
                <w:rFonts w:eastAsia="Times New Roman" w:cs="Times New Roman" w:ascii="Times New Roman" w:hAnsi="Times New Roman"/>
                <w:b w:val="false"/>
                <w:bCs w:val="false"/>
                <w:color w:val="000000"/>
                <w:sz w:val="22"/>
                <w:szCs w:val="22"/>
                <w:u w:val="none"/>
                <w:lang w:val="sr-Latn-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тихо уколико је гумица далеко, а гласно уколико је гумица близу. Када ученик пронађе своју гумицу, скида повез, а на његово место долази следећи ученик. Игра траје док сви ученици не узму своје предмете. </w:t>
            </w:r>
          </w:p>
          <w:p>
            <w:pPr>
              <w:pStyle w:val="Normal"/>
              <w:jc w:val="both"/>
              <w:rPr>
                <w:i w:val="false"/>
                <w:i w:val="false"/>
                <w:iCs w:val="false"/>
                <w:lang w:val="sr-Latn-RS"/>
              </w:rPr>
            </w:pPr>
            <w:r>
              <w:rPr>
                <w:i w:val="false"/>
                <w:iCs w:val="false"/>
                <w:lang w:val="sr-Latn-RS"/>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Ученици се присећају који ученик је који предмет ставио на сто, наставник бележи на табли, правећи мали инвентар.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2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2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Application>LibreOffice/5.3.2.2$Windows_x86 LibreOffice_project/6cd4f1ef626f15116896b1d8e1398b56da0d0ee1</Application>
  <Pages>2</Pages>
  <Words>282</Words>
  <Characters>1554</Characters>
  <CharactersWithSpaces>1809</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2019-10-07T20:57:39Z</dcterms:modified>
  <cp:revision>64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